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89622" w14:textId="3904E321" w:rsidR="0073446D" w:rsidRDefault="00D74417" w:rsidP="00CA5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Cs/>
          <w:szCs w:val="32"/>
        </w:rPr>
        <w:t xml:space="preserve">South Eastern </w:t>
      </w:r>
      <w:r w:rsidR="0042785E" w:rsidRPr="00CA59E3">
        <w:rPr>
          <w:rFonts w:ascii="Arial" w:hAnsi="Arial" w:cs="Arial"/>
          <w:bCs/>
          <w:szCs w:val="32"/>
        </w:rPr>
        <w:t xml:space="preserve">Sydney Local Health District </w:t>
      </w:r>
      <w:r w:rsidR="002543C9" w:rsidRPr="00CA59E3">
        <w:rPr>
          <w:rFonts w:ascii="Arial" w:hAnsi="Arial" w:cs="Arial"/>
          <w:bCs/>
          <w:szCs w:val="32"/>
        </w:rPr>
        <w:br/>
      </w:r>
      <w:r w:rsidR="0042785E" w:rsidRPr="00CA59E3">
        <w:rPr>
          <w:rFonts w:ascii="Arial" w:hAnsi="Arial" w:cs="Arial"/>
          <w:b/>
          <w:bCs/>
          <w:sz w:val="28"/>
          <w:szCs w:val="32"/>
        </w:rPr>
        <w:t xml:space="preserve">Consumer Engagement </w:t>
      </w:r>
      <w:r w:rsidR="0011207A" w:rsidRPr="00CA59E3">
        <w:rPr>
          <w:rFonts w:ascii="Arial" w:hAnsi="Arial" w:cs="Arial"/>
          <w:b/>
          <w:bCs/>
          <w:sz w:val="28"/>
          <w:szCs w:val="32"/>
        </w:rPr>
        <w:t>Plan</w:t>
      </w:r>
      <w:r w:rsidR="00916CD5" w:rsidRPr="00CA59E3">
        <w:rPr>
          <w:rFonts w:ascii="Arial" w:hAnsi="Arial" w:cs="Arial"/>
          <w:b/>
          <w:bCs/>
          <w:sz w:val="28"/>
          <w:szCs w:val="32"/>
        </w:rPr>
        <w:t xml:space="preserve"> (CEP)</w:t>
      </w:r>
    </w:p>
    <w:p w14:paraId="5DD3866C" w14:textId="43751E81" w:rsidR="00130E00" w:rsidRPr="00CA59E3" w:rsidRDefault="00130E00" w:rsidP="00CA5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16D8D1AD" w14:textId="13D48447" w:rsidR="00B524AD" w:rsidRPr="00CA59E3" w:rsidRDefault="002543C9" w:rsidP="00CA59E3">
      <w:pPr>
        <w:jc w:val="both"/>
        <w:rPr>
          <w:rFonts w:ascii="Arial" w:hAnsi="Arial" w:cs="Arial"/>
          <w:b/>
          <w:bCs/>
          <w:sz w:val="20"/>
          <w:szCs w:val="32"/>
        </w:rPr>
      </w:pPr>
      <w:r>
        <w:rPr>
          <w:rFonts w:ascii="Arial" w:hAnsi="Arial" w:cs="Arial"/>
          <w:b/>
          <w:bCs/>
          <w:sz w:val="20"/>
          <w:szCs w:val="32"/>
        </w:rPr>
        <w:br/>
      </w:r>
      <w:r w:rsidR="00130E00" w:rsidRPr="00CA59E3">
        <w:rPr>
          <w:rFonts w:ascii="Arial" w:hAnsi="Arial" w:cs="Arial"/>
          <w:b/>
          <w:bCs/>
          <w:sz w:val="20"/>
          <w:szCs w:val="32"/>
          <w:u w:val="single"/>
        </w:rPr>
        <w:t>Instructions:</w:t>
      </w:r>
      <w:r w:rsidR="0073446D">
        <w:rPr>
          <w:rFonts w:ascii="Arial" w:hAnsi="Arial" w:cs="Arial"/>
          <w:b/>
          <w:bCs/>
          <w:sz w:val="20"/>
          <w:szCs w:val="32"/>
        </w:rPr>
        <w:t xml:space="preserve"> Please </w:t>
      </w:r>
      <w:r w:rsidR="00130E00" w:rsidRPr="00CA59E3">
        <w:rPr>
          <w:rFonts w:ascii="Arial" w:hAnsi="Arial" w:cs="Arial"/>
          <w:b/>
          <w:bCs/>
          <w:sz w:val="20"/>
          <w:szCs w:val="32"/>
        </w:rPr>
        <w:t xml:space="preserve">complete this form if </w:t>
      </w:r>
      <w:r w:rsidR="00BB1221">
        <w:rPr>
          <w:rFonts w:ascii="Arial" w:hAnsi="Arial" w:cs="Arial"/>
          <w:b/>
          <w:bCs/>
          <w:sz w:val="20"/>
          <w:szCs w:val="32"/>
        </w:rPr>
        <w:t>there is no</w:t>
      </w:r>
      <w:r w:rsidR="00130E00" w:rsidRPr="00CA59E3">
        <w:rPr>
          <w:rFonts w:ascii="Arial" w:hAnsi="Arial" w:cs="Arial"/>
          <w:b/>
          <w:bCs/>
          <w:sz w:val="20"/>
          <w:szCs w:val="32"/>
        </w:rPr>
        <w:t xml:space="preserve"> statement </w:t>
      </w:r>
      <w:r w:rsidR="007321A9">
        <w:rPr>
          <w:rFonts w:ascii="Arial" w:hAnsi="Arial" w:cs="Arial"/>
          <w:b/>
          <w:bCs/>
          <w:sz w:val="20"/>
          <w:szCs w:val="32"/>
        </w:rPr>
        <w:t xml:space="preserve">or plan </w:t>
      </w:r>
      <w:r w:rsidR="00130E00" w:rsidRPr="00CA59E3">
        <w:rPr>
          <w:rFonts w:ascii="Arial" w:hAnsi="Arial" w:cs="Arial"/>
          <w:b/>
          <w:bCs/>
          <w:sz w:val="20"/>
          <w:szCs w:val="32"/>
        </w:rPr>
        <w:t xml:space="preserve">about consumer involvement included in </w:t>
      </w:r>
      <w:r w:rsidR="00130E00">
        <w:rPr>
          <w:rFonts w:ascii="Arial" w:hAnsi="Arial" w:cs="Arial"/>
          <w:b/>
          <w:bCs/>
          <w:sz w:val="20"/>
          <w:szCs w:val="32"/>
        </w:rPr>
        <w:t>your</w:t>
      </w:r>
      <w:r w:rsidR="00130E00" w:rsidRPr="00CA59E3">
        <w:rPr>
          <w:rFonts w:ascii="Arial" w:hAnsi="Arial" w:cs="Arial"/>
          <w:b/>
          <w:bCs/>
          <w:sz w:val="20"/>
          <w:szCs w:val="32"/>
        </w:rPr>
        <w:t xml:space="preserve"> Protocol</w:t>
      </w:r>
      <w:r w:rsidR="00130E00">
        <w:rPr>
          <w:rFonts w:ascii="Arial" w:hAnsi="Arial" w:cs="Arial"/>
          <w:b/>
          <w:bCs/>
          <w:sz w:val="20"/>
          <w:szCs w:val="32"/>
        </w:rPr>
        <w:t xml:space="preserve"> document.</w:t>
      </w:r>
      <w:r w:rsidR="005933EF">
        <w:rPr>
          <w:rFonts w:ascii="Arial" w:hAnsi="Arial" w:cs="Arial"/>
          <w:b/>
          <w:bCs/>
          <w:sz w:val="20"/>
          <w:szCs w:val="32"/>
        </w:rPr>
        <w:t xml:space="preserve">  If possible, please incorporate into the Protocol with the next amendment.</w:t>
      </w:r>
    </w:p>
    <w:p w14:paraId="16F097AB" w14:textId="77777777" w:rsidR="0042785E" w:rsidRPr="00CA59E3" w:rsidRDefault="0042785E">
      <w:pPr>
        <w:rPr>
          <w:rFonts w:ascii="Arial" w:hAnsi="Arial" w:cs="Arial"/>
          <w:sz w:val="20"/>
          <w:szCs w:val="20"/>
        </w:rPr>
      </w:pPr>
    </w:p>
    <w:p w14:paraId="36F6D0A8" w14:textId="601CED6A" w:rsidR="00D74417" w:rsidRDefault="00162FF4">
      <w:pPr>
        <w:rPr>
          <w:rFonts w:ascii="Arial" w:hAnsi="Arial" w:cs="Arial"/>
          <w:sz w:val="20"/>
          <w:szCs w:val="20"/>
        </w:rPr>
      </w:pPr>
      <w:r w:rsidRPr="00CA59E3">
        <w:rPr>
          <w:rFonts w:ascii="Arial" w:hAnsi="Arial" w:cs="Arial"/>
          <w:sz w:val="20"/>
          <w:szCs w:val="20"/>
        </w:rPr>
        <w:t>The</w:t>
      </w:r>
      <w:r w:rsidR="0042785E" w:rsidRPr="00CA59E3">
        <w:rPr>
          <w:rFonts w:ascii="Arial" w:hAnsi="Arial" w:cs="Arial"/>
          <w:sz w:val="20"/>
          <w:szCs w:val="20"/>
        </w:rPr>
        <w:t xml:space="preserve"> </w:t>
      </w:r>
      <w:r w:rsidRPr="00CA59E3">
        <w:rPr>
          <w:rFonts w:ascii="Arial" w:hAnsi="Arial" w:cs="Arial"/>
          <w:sz w:val="20"/>
          <w:szCs w:val="20"/>
        </w:rPr>
        <w:t xml:space="preserve">introduction </w:t>
      </w:r>
      <w:r w:rsidR="0042785E" w:rsidRPr="00CA59E3">
        <w:rPr>
          <w:rFonts w:ascii="Arial" w:hAnsi="Arial" w:cs="Arial"/>
          <w:sz w:val="20"/>
          <w:szCs w:val="20"/>
        </w:rPr>
        <w:t>of the Australian Commission on Safety and Quality in Health Care standards for the conduct of clinic</w:t>
      </w:r>
      <w:r w:rsidR="00EE4558">
        <w:rPr>
          <w:rFonts w:ascii="Arial" w:hAnsi="Arial" w:cs="Arial"/>
          <w:sz w:val="20"/>
          <w:szCs w:val="20"/>
        </w:rPr>
        <w:t>al trials in Australia, called t</w:t>
      </w:r>
      <w:r w:rsidR="0042785E" w:rsidRPr="00CA59E3">
        <w:rPr>
          <w:rFonts w:ascii="Arial" w:hAnsi="Arial" w:cs="Arial"/>
          <w:sz w:val="20"/>
          <w:szCs w:val="20"/>
        </w:rPr>
        <w:t xml:space="preserve">he National Clinical Trials Governance Framework </w:t>
      </w:r>
      <w:r w:rsidR="006D2CCF">
        <w:rPr>
          <w:rFonts w:ascii="Arial" w:hAnsi="Arial" w:cs="Arial"/>
          <w:sz w:val="20"/>
          <w:szCs w:val="20"/>
        </w:rPr>
        <w:t>was</w:t>
      </w:r>
      <w:r w:rsidR="0042785E" w:rsidRPr="00CA59E3">
        <w:rPr>
          <w:rFonts w:ascii="Arial" w:hAnsi="Arial" w:cs="Arial"/>
          <w:sz w:val="20"/>
          <w:szCs w:val="20"/>
        </w:rPr>
        <w:t xml:space="preserve"> implemented </w:t>
      </w:r>
      <w:r w:rsidRPr="00CA59E3">
        <w:rPr>
          <w:rFonts w:ascii="Arial" w:hAnsi="Arial" w:cs="Arial"/>
          <w:sz w:val="20"/>
          <w:szCs w:val="20"/>
        </w:rPr>
        <w:t xml:space="preserve">in January </w:t>
      </w:r>
      <w:r w:rsidR="0042785E" w:rsidRPr="00CA59E3">
        <w:rPr>
          <w:rFonts w:ascii="Arial" w:hAnsi="Arial" w:cs="Arial"/>
          <w:sz w:val="20"/>
          <w:szCs w:val="20"/>
        </w:rPr>
        <w:t>2023</w:t>
      </w:r>
      <w:r w:rsidRPr="00CA59E3">
        <w:rPr>
          <w:rFonts w:ascii="Arial" w:hAnsi="Arial" w:cs="Arial"/>
          <w:sz w:val="20"/>
          <w:szCs w:val="20"/>
        </w:rPr>
        <w:t>.</w:t>
      </w:r>
      <w:r w:rsidR="0042785E" w:rsidRPr="00CA59E3">
        <w:rPr>
          <w:rFonts w:ascii="Arial" w:hAnsi="Arial" w:cs="Arial"/>
          <w:sz w:val="20"/>
          <w:szCs w:val="20"/>
        </w:rPr>
        <w:t xml:space="preserve"> </w:t>
      </w:r>
      <w:r w:rsidR="00D74417" w:rsidRPr="00D74417">
        <w:rPr>
          <w:rFonts w:ascii="Arial" w:hAnsi="Arial" w:cs="Arial"/>
          <w:sz w:val="20"/>
          <w:szCs w:val="20"/>
        </w:rPr>
        <w:t xml:space="preserve">The Framework exists to ensure that everyone, including frontline </w:t>
      </w:r>
      <w:r w:rsidR="00D74417">
        <w:rPr>
          <w:rFonts w:ascii="Arial" w:hAnsi="Arial" w:cs="Arial"/>
          <w:sz w:val="20"/>
          <w:szCs w:val="20"/>
        </w:rPr>
        <w:t>staff</w:t>
      </w:r>
      <w:r w:rsidR="00D74417" w:rsidRPr="00D74417">
        <w:rPr>
          <w:rFonts w:ascii="Arial" w:hAnsi="Arial" w:cs="Arial"/>
          <w:sz w:val="20"/>
          <w:szCs w:val="20"/>
        </w:rPr>
        <w:t xml:space="preserve"> undertaking clinical trials and members of governing </w:t>
      </w:r>
      <w:r w:rsidR="00D74417">
        <w:rPr>
          <w:rFonts w:ascii="Arial" w:hAnsi="Arial" w:cs="Arial"/>
          <w:sz w:val="20"/>
          <w:szCs w:val="20"/>
        </w:rPr>
        <w:t>bodies</w:t>
      </w:r>
      <w:r w:rsidR="00D74417" w:rsidRPr="00D74417">
        <w:rPr>
          <w:rFonts w:ascii="Arial" w:hAnsi="Arial" w:cs="Arial"/>
          <w:sz w:val="20"/>
          <w:szCs w:val="20"/>
        </w:rPr>
        <w:t>, is accountable to patients and the community for assuring the delivery of clinical trials is of high quality, integrated into clinical care and continuously improving.</w:t>
      </w:r>
    </w:p>
    <w:p w14:paraId="26F728FB" w14:textId="35AF97B2" w:rsidR="0042785E" w:rsidRPr="00CA59E3" w:rsidRDefault="00130E00">
      <w:pPr>
        <w:rPr>
          <w:rFonts w:ascii="Arial" w:hAnsi="Arial" w:cs="Arial"/>
          <w:sz w:val="20"/>
          <w:szCs w:val="20"/>
        </w:rPr>
      </w:pPr>
      <w:r w:rsidRPr="00CA59E3">
        <w:rPr>
          <w:rFonts w:ascii="Arial" w:hAnsi="Arial" w:cs="Arial"/>
          <w:sz w:val="20"/>
          <w:szCs w:val="20"/>
        </w:rPr>
        <w:br/>
      </w:r>
      <w:r w:rsidR="00162FF4" w:rsidRPr="00CA59E3">
        <w:rPr>
          <w:rFonts w:ascii="Arial" w:hAnsi="Arial" w:cs="Arial"/>
          <w:sz w:val="20"/>
          <w:szCs w:val="20"/>
        </w:rPr>
        <w:t>T</w:t>
      </w:r>
      <w:r w:rsidR="0042785E" w:rsidRPr="00CA59E3">
        <w:rPr>
          <w:rFonts w:ascii="Arial" w:hAnsi="Arial" w:cs="Arial"/>
          <w:sz w:val="20"/>
          <w:szCs w:val="20"/>
        </w:rPr>
        <w:t xml:space="preserve">he </w:t>
      </w:r>
      <w:r w:rsidR="00D74417">
        <w:rPr>
          <w:rFonts w:ascii="Arial" w:hAnsi="Arial" w:cs="Arial"/>
          <w:sz w:val="20"/>
          <w:szCs w:val="20"/>
        </w:rPr>
        <w:t xml:space="preserve">South Eastern </w:t>
      </w:r>
      <w:r w:rsidR="0042785E" w:rsidRPr="00CA59E3">
        <w:rPr>
          <w:rFonts w:ascii="Arial" w:hAnsi="Arial" w:cs="Arial"/>
          <w:sz w:val="20"/>
          <w:szCs w:val="20"/>
        </w:rPr>
        <w:t>Sydney Local Health District</w:t>
      </w:r>
      <w:r w:rsidR="00D74417">
        <w:rPr>
          <w:rFonts w:ascii="Arial" w:hAnsi="Arial" w:cs="Arial"/>
          <w:sz w:val="20"/>
          <w:szCs w:val="20"/>
        </w:rPr>
        <w:t xml:space="preserve"> HREC</w:t>
      </w:r>
      <w:r w:rsidR="0042785E" w:rsidRPr="00CA59E3">
        <w:rPr>
          <w:rFonts w:ascii="Arial" w:hAnsi="Arial" w:cs="Arial"/>
          <w:sz w:val="20"/>
          <w:szCs w:val="20"/>
        </w:rPr>
        <w:t xml:space="preserve"> </w:t>
      </w:r>
      <w:r w:rsidR="00D74417">
        <w:rPr>
          <w:rFonts w:ascii="Arial" w:hAnsi="Arial" w:cs="Arial"/>
          <w:sz w:val="20"/>
          <w:szCs w:val="20"/>
        </w:rPr>
        <w:t>recommends</w:t>
      </w:r>
      <w:r w:rsidR="00162FF4" w:rsidRPr="00CA59E3">
        <w:rPr>
          <w:rFonts w:ascii="Arial" w:hAnsi="Arial" w:cs="Arial"/>
          <w:sz w:val="20"/>
          <w:szCs w:val="20"/>
        </w:rPr>
        <w:t xml:space="preserve"> the inclusion of a </w:t>
      </w:r>
      <w:r w:rsidR="0042785E" w:rsidRPr="00CA59E3">
        <w:rPr>
          <w:rFonts w:ascii="Arial" w:hAnsi="Arial" w:cs="Arial"/>
          <w:sz w:val="20"/>
          <w:szCs w:val="20"/>
        </w:rPr>
        <w:t>statement</w:t>
      </w:r>
      <w:r w:rsidR="00162FF4" w:rsidRPr="00CA59E3">
        <w:rPr>
          <w:rFonts w:ascii="Arial" w:hAnsi="Arial" w:cs="Arial"/>
          <w:sz w:val="20"/>
          <w:szCs w:val="20"/>
        </w:rPr>
        <w:t xml:space="preserve"> </w:t>
      </w:r>
      <w:r w:rsidR="0042785E" w:rsidRPr="00CA59E3">
        <w:rPr>
          <w:rFonts w:ascii="Arial" w:hAnsi="Arial" w:cs="Arial"/>
          <w:sz w:val="20"/>
          <w:szCs w:val="20"/>
        </w:rPr>
        <w:t xml:space="preserve">in the Protocol </w:t>
      </w:r>
      <w:r w:rsidR="00162FF4" w:rsidRPr="00CA59E3">
        <w:rPr>
          <w:rFonts w:ascii="Arial" w:hAnsi="Arial" w:cs="Arial"/>
          <w:sz w:val="20"/>
          <w:szCs w:val="20"/>
        </w:rPr>
        <w:t>(</w:t>
      </w:r>
      <w:r w:rsidR="0042785E" w:rsidRPr="00CA59E3">
        <w:rPr>
          <w:rFonts w:ascii="Arial" w:hAnsi="Arial" w:cs="Arial"/>
          <w:sz w:val="20"/>
          <w:szCs w:val="20"/>
        </w:rPr>
        <w:t xml:space="preserve">or submission of this template </w:t>
      </w:r>
      <w:r w:rsidR="0073446D">
        <w:rPr>
          <w:rFonts w:ascii="Arial" w:hAnsi="Arial" w:cs="Arial"/>
          <w:sz w:val="20"/>
          <w:szCs w:val="20"/>
        </w:rPr>
        <w:t>with your</w:t>
      </w:r>
      <w:r w:rsidR="0042785E" w:rsidRPr="00CA59E3">
        <w:rPr>
          <w:rFonts w:ascii="Arial" w:hAnsi="Arial" w:cs="Arial"/>
          <w:sz w:val="20"/>
          <w:szCs w:val="20"/>
        </w:rPr>
        <w:t xml:space="preserve"> application</w:t>
      </w:r>
      <w:r w:rsidR="00AD4116" w:rsidRPr="00CA59E3">
        <w:rPr>
          <w:rFonts w:ascii="Arial" w:hAnsi="Arial" w:cs="Arial"/>
          <w:sz w:val="20"/>
          <w:szCs w:val="20"/>
        </w:rPr>
        <w:t>)</w:t>
      </w:r>
      <w:r w:rsidRPr="00CA59E3">
        <w:rPr>
          <w:rFonts w:ascii="Arial" w:hAnsi="Arial" w:cs="Arial"/>
          <w:sz w:val="20"/>
          <w:szCs w:val="20"/>
        </w:rPr>
        <w:t>,</w:t>
      </w:r>
      <w:r w:rsidR="0042785E" w:rsidRPr="00CA59E3">
        <w:rPr>
          <w:rFonts w:ascii="Arial" w:hAnsi="Arial" w:cs="Arial"/>
          <w:sz w:val="20"/>
          <w:szCs w:val="20"/>
        </w:rPr>
        <w:t xml:space="preserve"> </w:t>
      </w:r>
      <w:r w:rsidR="00162FF4" w:rsidRPr="00CA59E3">
        <w:rPr>
          <w:rFonts w:ascii="Arial" w:hAnsi="Arial" w:cs="Arial"/>
          <w:sz w:val="20"/>
          <w:szCs w:val="20"/>
        </w:rPr>
        <w:t>detailing how</w:t>
      </w:r>
      <w:r w:rsidR="007A4317" w:rsidRPr="00CA59E3">
        <w:rPr>
          <w:rFonts w:ascii="Arial" w:hAnsi="Arial" w:cs="Arial"/>
          <w:sz w:val="20"/>
          <w:szCs w:val="20"/>
        </w:rPr>
        <w:t xml:space="preserve"> consumer</w:t>
      </w:r>
      <w:r w:rsidR="00162FF4" w:rsidRPr="00CA59E3">
        <w:rPr>
          <w:rFonts w:ascii="Arial" w:hAnsi="Arial" w:cs="Arial"/>
          <w:sz w:val="20"/>
          <w:szCs w:val="20"/>
        </w:rPr>
        <w:t>s will be involved</w:t>
      </w:r>
      <w:r w:rsidR="007A4317" w:rsidRPr="00CA59E3">
        <w:rPr>
          <w:rFonts w:ascii="Arial" w:hAnsi="Arial" w:cs="Arial"/>
          <w:sz w:val="20"/>
          <w:szCs w:val="20"/>
        </w:rPr>
        <w:t xml:space="preserve"> in the design, delivery and measurement of the </w:t>
      </w:r>
      <w:r w:rsidR="00162FF4" w:rsidRPr="00CA59E3">
        <w:rPr>
          <w:rFonts w:ascii="Arial" w:hAnsi="Arial" w:cs="Arial"/>
          <w:sz w:val="20"/>
          <w:szCs w:val="20"/>
        </w:rPr>
        <w:t xml:space="preserve">clinical </w:t>
      </w:r>
      <w:r w:rsidR="007A4317" w:rsidRPr="00CA59E3">
        <w:rPr>
          <w:rFonts w:ascii="Arial" w:hAnsi="Arial" w:cs="Arial"/>
          <w:sz w:val="20"/>
          <w:szCs w:val="20"/>
        </w:rPr>
        <w:t>trial</w:t>
      </w:r>
      <w:r w:rsidR="0042785E" w:rsidRPr="00CA59E3">
        <w:rPr>
          <w:rFonts w:ascii="Arial" w:hAnsi="Arial" w:cs="Arial"/>
          <w:sz w:val="20"/>
          <w:szCs w:val="20"/>
        </w:rPr>
        <w:t>. The aim is for researchers to</w:t>
      </w:r>
      <w:r w:rsidR="00162FF4" w:rsidRPr="00CA59E3">
        <w:rPr>
          <w:rFonts w:ascii="Arial" w:hAnsi="Arial" w:cs="Arial"/>
          <w:sz w:val="20"/>
          <w:szCs w:val="20"/>
        </w:rPr>
        <w:t xml:space="preserve"> begin</w:t>
      </w:r>
      <w:r w:rsidR="0042785E" w:rsidRPr="00CA59E3">
        <w:rPr>
          <w:rFonts w:ascii="Arial" w:hAnsi="Arial" w:cs="Arial"/>
          <w:sz w:val="20"/>
          <w:szCs w:val="20"/>
        </w:rPr>
        <w:t xml:space="preserve"> </w:t>
      </w:r>
      <w:r w:rsidR="007A4317" w:rsidRPr="00CA59E3">
        <w:rPr>
          <w:rFonts w:ascii="Arial" w:hAnsi="Arial" w:cs="Arial"/>
          <w:sz w:val="20"/>
          <w:szCs w:val="20"/>
        </w:rPr>
        <w:t>tak</w:t>
      </w:r>
      <w:r w:rsidR="00162FF4" w:rsidRPr="00CA59E3">
        <w:rPr>
          <w:rFonts w:ascii="Arial" w:hAnsi="Arial" w:cs="Arial"/>
          <w:sz w:val="20"/>
          <w:szCs w:val="20"/>
        </w:rPr>
        <w:t>ing</w:t>
      </w:r>
      <w:r w:rsidR="007A4317" w:rsidRPr="00CA59E3">
        <w:rPr>
          <w:rFonts w:ascii="Arial" w:hAnsi="Arial" w:cs="Arial"/>
          <w:sz w:val="20"/>
          <w:szCs w:val="20"/>
        </w:rPr>
        <w:t xml:space="preserve"> steps in </w:t>
      </w:r>
      <w:r w:rsidR="0042785E" w:rsidRPr="00CA59E3">
        <w:rPr>
          <w:rFonts w:ascii="Arial" w:hAnsi="Arial" w:cs="Arial"/>
          <w:sz w:val="20"/>
          <w:szCs w:val="20"/>
        </w:rPr>
        <w:t xml:space="preserve">developing capabilities and processes </w:t>
      </w:r>
      <w:r w:rsidR="007A4317" w:rsidRPr="00CA59E3">
        <w:rPr>
          <w:rFonts w:ascii="Arial" w:hAnsi="Arial" w:cs="Arial"/>
          <w:sz w:val="20"/>
          <w:szCs w:val="20"/>
        </w:rPr>
        <w:t>to</w:t>
      </w:r>
      <w:r w:rsidR="0042785E" w:rsidRPr="00CA59E3">
        <w:rPr>
          <w:rFonts w:ascii="Arial" w:hAnsi="Arial" w:cs="Arial"/>
          <w:sz w:val="20"/>
          <w:szCs w:val="20"/>
        </w:rPr>
        <w:t xml:space="preserve"> embed consumer involvement </w:t>
      </w:r>
      <w:r w:rsidR="00801668" w:rsidRPr="00CA59E3">
        <w:rPr>
          <w:rFonts w:ascii="Arial" w:hAnsi="Arial" w:cs="Arial"/>
          <w:sz w:val="20"/>
          <w:szCs w:val="20"/>
        </w:rPr>
        <w:t>across the</w:t>
      </w:r>
      <w:r w:rsidR="00162FF4" w:rsidRPr="00CA59E3">
        <w:rPr>
          <w:rFonts w:ascii="Arial" w:hAnsi="Arial" w:cs="Arial"/>
          <w:sz w:val="20"/>
          <w:szCs w:val="20"/>
        </w:rPr>
        <w:t xml:space="preserve"> </w:t>
      </w:r>
      <w:r w:rsidR="0042785E" w:rsidRPr="00CA59E3">
        <w:rPr>
          <w:rFonts w:ascii="Arial" w:hAnsi="Arial" w:cs="Arial"/>
          <w:sz w:val="20"/>
          <w:szCs w:val="20"/>
        </w:rPr>
        <w:t>clinical trial</w:t>
      </w:r>
      <w:r w:rsidR="00162FF4" w:rsidRPr="00CA59E3">
        <w:rPr>
          <w:rFonts w:ascii="Arial" w:hAnsi="Arial" w:cs="Arial"/>
          <w:sz w:val="20"/>
          <w:szCs w:val="20"/>
        </w:rPr>
        <w:t xml:space="preserve"> lifecycle. </w:t>
      </w:r>
    </w:p>
    <w:p w14:paraId="72EBDEF3" w14:textId="1669E00F" w:rsidR="0042785E" w:rsidRPr="006D2CCF" w:rsidRDefault="0042785E" w:rsidP="0042785E">
      <w:pPr>
        <w:rPr>
          <w:rFonts w:ascii="Arial" w:hAnsi="Arial" w:cs="Arial"/>
          <w:i/>
          <w:iCs/>
          <w:sz w:val="18"/>
          <w:szCs w:val="18"/>
        </w:rPr>
      </w:pPr>
      <w:r w:rsidRPr="00CA59E3">
        <w:rPr>
          <w:rFonts w:ascii="Arial" w:hAnsi="Arial" w:cs="Arial"/>
          <w:sz w:val="20"/>
        </w:rPr>
        <w:br/>
      </w:r>
      <w:r w:rsidRPr="0073446D">
        <w:rPr>
          <w:rFonts w:ascii="Arial" w:hAnsi="Arial" w:cs="Arial"/>
          <w:i/>
          <w:iCs/>
          <w:sz w:val="18"/>
          <w:szCs w:val="18"/>
          <w:u w:val="single"/>
        </w:rPr>
        <w:t>Under Standard 2 “Partnering with Consumers”;</w:t>
      </w:r>
      <w:r w:rsidR="002543C9" w:rsidRPr="0073446D">
        <w:rPr>
          <w:sz w:val="18"/>
          <w:szCs w:val="18"/>
          <w:u w:val="single"/>
        </w:rPr>
        <w:t xml:space="preserve"> </w:t>
      </w:r>
      <w:hyperlink r:id="rId7" w:history="1">
        <w:r w:rsidR="0013135B" w:rsidRPr="006C295E">
          <w:rPr>
            <w:rStyle w:val="Hyperlink"/>
            <w:rFonts w:ascii="Arial" w:hAnsi="Arial" w:cs="Arial"/>
            <w:sz w:val="18"/>
            <w:szCs w:val="18"/>
          </w:rPr>
          <w:t>https://www.safetyandquality.gov.au/standards/national-clinical-trials-governance-framework</w:t>
        </w:r>
      </w:hyperlink>
      <w:r w:rsidR="0013135B" w:rsidRPr="006D2CCF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DD51234" w14:textId="77777777" w:rsidR="0042785E" w:rsidRPr="00CA59E3" w:rsidRDefault="0042785E" w:rsidP="0042785E">
      <w:pPr>
        <w:rPr>
          <w:rFonts w:ascii="Arial" w:hAnsi="Arial" w:cs="Arial"/>
          <w:i/>
          <w:iCs/>
          <w:sz w:val="18"/>
          <w:szCs w:val="22"/>
        </w:rPr>
      </w:pPr>
    </w:p>
    <w:p w14:paraId="6A678FAC" w14:textId="7902B9BD" w:rsidR="0042785E" w:rsidRPr="00CA59E3" w:rsidRDefault="0042785E" w:rsidP="0042785E">
      <w:pPr>
        <w:rPr>
          <w:rFonts w:ascii="Arial" w:hAnsi="Arial" w:cs="Arial"/>
          <w:i/>
          <w:iCs/>
          <w:sz w:val="18"/>
          <w:szCs w:val="22"/>
        </w:rPr>
      </w:pPr>
      <w:r w:rsidRPr="00CA59E3">
        <w:rPr>
          <w:rFonts w:ascii="Arial" w:hAnsi="Arial" w:cs="Arial"/>
          <w:i/>
          <w:iCs/>
          <w:sz w:val="18"/>
          <w:szCs w:val="22"/>
        </w:rPr>
        <w:t>To create an organisation in which there are mutually beneficial outcomes by having:</w:t>
      </w:r>
    </w:p>
    <w:p w14:paraId="21FFAE73" w14:textId="77777777" w:rsidR="0042785E" w:rsidRPr="00CA59E3" w:rsidRDefault="0042785E" w:rsidP="0042785E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18"/>
          <w:szCs w:val="22"/>
        </w:rPr>
      </w:pPr>
      <w:r w:rsidRPr="00CA59E3">
        <w:rPr>
          <w:rFonts w:ascii="Arial" w:hAnsi="Arial" w:cs="Arial"/>
          <w:i/>
          <w:iCs/>
          <w:sz w:val="18"/>
          <w:szCs w:val="22"/>
        </w:rPr>
        <w:t>Consumers as partners in planning, design, delivery, measurement and evaluation of systems to deliver clinical trial services</w:t>
      </w:r>
    </w:p>
    <w:p w14:paraId="68D43A02" w14:textId="77777777" w:rsidR="0042785E" w:rsidRPr="00CA59E3" w:rsidRDefault="0042785E" w:rsidP="0042785E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18"/>
          <w:szCs w:val="22"/>
        </w:rPr>
      </w:pPr>
      <w:r w:rsidRPr="00CA59E3">
        <w:rPr>
          <w:rFonts w:ascii="Arial" w:hAnsi="Arial" w:cs="Arial"/>
          <w:i/>
          <w:iCs/>
          <w:sz w:val="18"/>
          <w:szCs w:val="22"/>
        </w:rPr>
        <w:t>Trial participants and patients as partners in their own care, to the extent that they choose.</w:t>
      </w:r>
    </w:p>
    <w:p w14:paraId="30C23C77" w14:textId="77777777" w:rsidR="0042785E" w:rsidRPr="00CA59E3" w:rsidRDefault="0042785E" w:rsidP="0042785E">
      <w:pPr>
        <w:pStyle w:val="ListParagraph"/>
        <w:rPr>
          <w:rFonts w:ascii="Arial" w:hAnsi="Arial" w:cs="Arial"/>
          <w:sz w:val="22"/>
        </w:rPr>
      </w:pPr>
    </w:p>
    <w:p w14:paraId="26965DA0" w14:textId="11806386" w:rsidR="0042785E" w:rsidRPr="00CA59E3" w:rsidRDefault="0042785E" w:rsidP="0042785E">
      <w:pPr>
        <w:rPr>
          <w:rFonts w:ascii="Arial" w:hAnsi="Arial" w:cs="Arial"/>
          <w:sz w:val="20"/>
        </w:rPr>
      </w:pPr>
      <w:r w:rsidRPr="00CA59E3">
        <w:rPr>
          <w:rFonts w:ascii="Arial" w:hAnsi="Arial" w:cs="Arial"/>
          <w:sz w:val="20"/>
        </w:rPr>
        <w:t xml:space="preserve">A statement </w:t>
      </w:r>
      <w:r w:rsidR="007A4317" w:rsidRPr="00CA59E3">
        <w:rPr>
          <w:rFonts w:ascii="Arial" w:hAnsi="Arial" w:cs="Arial"/>
          <w:sz w:val="20"/>
        </w:rPr>
        <w:t xml:space="preserve">about how the research team plan to address the above should be detailed below. </w:t>
      </w:r>
    </w:p>
    <w:p w14:paraId="71928609" w14:textId="77777777" w:rsidR="0011207A" w:rsidRPr="00CA59E3" w:rsidRDefault="0011207A" w:rsidP="0042785E">
      <w:pPr>
        <w:rPr>
          <w:rFonts w:ascii="Arial" w:hAnsi="Arial" w:cs="Arial"/>
        </w:rPr>
      </w:pPr>
      <w:r w:rsidRPr="00CA59E3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0686E" wp14:editId="3DF9B92E">
                <wp:simplePos x="0" y="0"/>
                <wp:positionH relativeFrom="column">
                  <wp:posOffset>-123825</wp:posOffset>
                </wp:positionH>
                <wp:positionV relativeFrom="paragraph">
                  <wp:posOffset>64135</wp:posOffset>
                </wp:positionV>
                <wp:extent cx="6083300" cy="45910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459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A9B29" w14:textId="4E9021F6" w:rsidR="0073446D" w:rsidRPr="00167071" w:rsidRDefault="0073446D">
                            <w:pPr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Detail the status of the study</w:t>
                            </w:r>
                            <w:r w:rsidRPr="00167071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(i.e. currently recruiting, recruitment complete, patients in follow up, results currently being analysed etc.</w:t>
                            </w:r>
                            <w:r w:rsidR="006D2CCF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240D2F7" w14:textId="415842B8" w:rsidR="0073446D" w:rsidRDefault="004E6435">
                            <w:pPr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Studies that are </w:t>
                            </w:r>
                            <w:r w:rsidRPr="004E6435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closed/closed post analysis/closed to recruitment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are not required to submit a consumer engagement plan. </w:t>
                            </w:r>
                          </w:p>
                          <w:p w14:paraId="26F0165E" w14:textId="77777777" w:rsidR="004E6435" w:rsidRPr="006C295E" w:rsidRDefault="004E6435">
                            <w:pPr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20AF26C" w14:textId="797D78A5" w:rsidR="00B45DBC" w:rsidRPr="00167071" w:rsidRDefault="0073446D">
                            <w:pPr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Depending on the status of the </w:t>
                            </w:r>
                            <w:r w:rsidR="005933EF" w:rsidRPr="00167071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study</w:t>
                            </w:r>
                            <w:r w:rsidRPr="00167071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, detail how you will seek to involve </w:t>
                            </w:r>
                            <w:r w:rsidRPr="00167071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consumers in the planning, design, delivery of the study and/or seek feedback from consumers about the participant information statement or other study related documents.</w:t>
                            </w:r>
                          </w:p>
                          <w:p w14:paraId="59030A26" w14:textId="77777777" w:rsidR="00B45DBC" w:rsidRDefault="00B45DB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48B21412" w14:textId="6474AE1B" w:rsidR="005933EF" w:rsidRPr="00167071" w:rsidRDefault="00167071" w:rsidP="0016707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Examples of how to partner with consumers in research:</w:t>
                            </w:r>
                          </w:p>
                          <w:p w14:paraId="1A27E3B4" w14:textId="14517D51" w:rsidR="00167071" w:rsidRPr="00167071" w:rsidRDefault="00167071" w:rsidP="0016707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>Eliciting and documenting individual needs, preferences</w:t>
                            </w:r>
                            <w:r w:rsidR="006D2CC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167071">
                              <w:rPr>
                                <w:sz w:val="20"/>
                                <w:szCs w:val="20"/>
                              </w:rPr>
                              <w:t xml:space="preserve"> and goals during all stages of the clinical trial</w:t>
                            </w:r>
                          </w:p>
                          <w:p w14:paraId="07573B79" w14:textId="77777777" w:rsidR="00167071" w:rsidRPr="00167071" w:rsidRDefault="00167071" w:rsidP="0016707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 xml:space="preserve">Inviting research participants to research meetings to discuss completed or new studies </w:t>
                            </w:r>
                          </w:p>
                          <w:p w14:paraId="38914495" w14:textId="77777777" w:rsidR="00167071" w:rsidRPr="00167071" w:rsidRDefault="00167071" w:rsidP="0016707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>Holding an annual forum with participants and seeking their feedback on completed or new studies</w:t>
                            </w:r>
                          </w:p>
                          <w:p w14:paraId="3800E7BD" w14:textId="77777777" w:rsidR="00167071" w:rsidRPr="00167071" w:rsidRDefault="00167071" w:rsidP="0016707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 xml:space="preserve">Using patient and trial participant decision aids </w:t>
                            </w:r>
                          </w:p>
                          <w:p w14:paraId="15C70ECF" w14:textId="77777777" w:rsidR="00167071" w:rsidRPr="00167071" w:rsidRDefault="00167071" w:rsidP="0016707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 xml:space="preserve">Encouraging and prompting patient questioning during clinical trial visits </w:t>
                            </w:r>
                          </w:p>
                          <w:p w14:paraId="108FEA2D" w14:textId="154153D6" w:rsidR="00167071" w:rsidRPr="00167071" w:rsidRDefault="00167071" w:rsidP="0016707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>Providing trial related information in engaging and accessible formats, such as print, mobile apps</w:t>
                            </w:r>
                            <w:r w:rsidR="006D2CC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167071">
                              <w:rPr>
                                <w:sz w:val="20"/>
                                <w:szCs w:val="20"/>
                              </w:rPr>
                              <w:t xml:space="preserve"> online channels and story boards </w:t>
                            </w:r>
                          </w:p>
                          <w:p w14:paraId="7C17850E" w14:textId="77777777" w:rsidR="00167071" w:rsidRPr="00167071" w:rsidRDefault="00167071" w:rsidP="0016707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 xml:space="preserve">Providing education to support self-management </w:t>
                            </w:r>
                          </w:p>
                          <w:p w14:paraId="2019B4F1" w14:textId="77777777" w:rsidR="00167071" w:rsidRPr="00167071" w:rsidRDefault="00167071" w:rsidP="0016707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 xml:space="preserve">Establishing self-help and support/reference groups </w:t>
                            </w:r>
                          </w:p>
                          <w:p w14:paraId="4AFA22B7" w14:textId="7729F7F0" w:rsidR="00167071" w:rsidRDefault="00167071" w:rsidP="0016707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>Developing tools to encourage adherence to the trial treatment</w:t>
                            </w:r>
                          </w:p>
                          <w:p w14:paraId="045BBEA2" w14:textId="77777777" w:rsidR="00FD590D" w:rsidRDefault="00FD590D" w:rsidP="0016707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8E5566" w14:textId="5D4EC6AA" w:rsidR="00167071" w:rsidRPr="00FD590D" w:rsidRDefault="00FD590D" w:rsidP="0016707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Examples of how you </w:t>
                            </w:r>
                            <w:r w:rsidR="006C702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already</w:t>
                            </w:r>
                            <w:r w:rsidR="006C702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engaging with consumers:</w:t>
                            </w:r>
                          </w:p>
                          <w:p w14:paraId="33127B4B" w14:textId="77777777" w:rsidR="00167071" w:rsidRPr="00167071" w:rsidRDefault="00167071" w:rsidP="0016707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>Surveys that you currently undertake regarding consumer feedback such as; Patient Reported Experience Measures (PREMs)</w:t>
                            </w:r>
                          </w:p>
                          <w:p w14:paraId="6710CBC7" w14:textId="77777777" w:rsidR="00167071" w:rsidRPr="00167071" w:rsidRDefault="00167071" w:rsidP="0016707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>Feedback during the consent process – ensure this is documented</w:t>
                            </w:r>
                          </w:p>
                          <w:p w14:paraId="0A6681D7" w14:textId="77777777" w:rsidR="00167071" w:rsidRPr="00167071" w:rsidRDefault="00167071" w:rsidP="0016707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>Discussing with Patients the practicalities of visits and minimising patient visiting requirements</w:t>
                            </w:r>
                          </w:p>
                          <w:p w14:paraId="2074713E" w14:textId="77777777" w:rsidR="00167071" w:rsidRDefault="00167071" w:rsidP="0016707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>Inviting former clinical trial participants to research meetings to discuss new Protocols, study materials</w:t>
                            </w:r>
                          </w:p>
                          <w:p w14:paraId="28EC83DD" w14:textId="64CCD0D5" w:rsidR="00B45DBC" w:rsidRPr="00167071" w:rsidRDefault="00167071" w:rsidP="0016707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67071">
                              <w:rPr>
                                <w:sz w:val="20"/>
                                <w:szCs w:val="20"/>
                              </w:rPr>
                              <w:t>Research forums inviting consumers to take part in discussions/surveys</w:t>
                            </w:r>
                          </w:p>
                          <w:p w14:paraId="148B70C8" w14:textId="77777777" w:rsidR="00B45DBC" w:rsidRDefault="00B45DB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738D0747" w14:textId="77777777" w:rsidR="00B45DBC" w:rsidRDefault="00B45DB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3DA5FC64" w14:textId="77777777" w:rsidR="00B45DBC" w:rsidRPr="00CA59E3" w:rsidRDefault="00B45DB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068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5pt;margin-top:5.05pt;width:479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" fillcolor="white [3201]" strokeweight=".5pt">
                <v:textbox>
                  <w:txbxContent>
                    <w:p w14:paraId="715A9B29" w14:textId="4E9021F6" w:rsidR="0073446D" w:rsidRPr="00167071" w:rsidRDefault="0073446D">
                      <w:pPr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 w:rsidRPr="00167071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Detail the status of the study</w:t>
                      </w:r>
                      <w:r w:rsidRPr="00167071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 (i.e. currently recruiting, recruitment complete, patients in follow up, results currently being analysed etc.</w:t>
                      </w:r>
                      <w:r w:rsidR="006D2CCF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5240D2F7" w14:textId="415842B8" w:rsidR="0073446D" w:rsidRDefault="004E6435">
                      <w:pPr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Studies that are </w:t>
                      </w:r>
                      <w:r w:rsidRPr="004E6435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closed/closed post analysis/closed to recruitment</w:t>
                      </w:r>
                      <w:r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 are not required to submit a consumer engagement plan. </w:t>
                      </w:r>
                    </w:p>
                    <w:p w14:paraId="26F0165E" w14:textId="77777777" w:rsidR="004E6435" w:rsidRPr="006C295E" w:rsidRDefault="004E6435">
                      <w:pPr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</w:p>
                    <w:p w14:paraId="620AF26C" w14:textId="797D78A5" w:rsidR="00B45DBC" w:rsidRPr="00167071" w:rsidRDefault="0073446D">
                      <w:pPr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 w:rsidRPr="00167071">
                        <w:rPr>
                          <w:rFonts w:cstheme="minorHAnsi"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Depending on the status of the </w:t>
                      </w:r>
                      <w:r w:rsidR="005933EF" w:rsidRPr="00167071">
                        <w:rPr>
                          <w:rFonts w:cstheme="minorHAnsi"/>
                          <w:color w:val="FF0000"/>
                          <w:sz w:val="20"/>
                          <w:szCs w:val="20"/>
                          <w:lang w:val="en-US"/>
                        </w:rPr>
                        <w:t>study</w:t>
                      </w:r>
                      <w:r w:rsidRPr="00167071">
                        <w:rPr>
                          <w:rFonts w:cstheme="minorHAnsi"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, detail how you will seek to involve </w:t>
                      </w:r>
                      <w:r w:rsidRPr="00167071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consumers in the planning, design, delivery of the study and/or seek feedback from consumers about the participant information statement or other study related documents.</w:t>
                      </w:r>
                    </w:p>
                    <w:p w14:paraId="59030A26" w14:textId="77777777" w:rsidR="00B45DBC" w:rsidRDefault="00B45DBC">
                      <w:pPr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  <w:p w14:paraId="48B21412" w14:textId="6474AE1B" w:rsidR="005933EF" w:rsidRPr="00167071" w:rsidRDefault="00167071" w:rsidP="0016707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67071">
                        <w:rPr>
                          <w:b/>
                          <w:bCs/>
                          <w:sz w:val="20"/>
                          <w:szCs w:val="20"/>
                        </w:rPr>
                        <w:t>Examples of how to partner with consumers in research:</w:t>
                      </w:r>
                    </w:p>
                    <w:p w14:paraId="1A27E3B4" w14:textId="14517D51" w:rsidR="00167071" w:rsidRPr="00167071" w:rsidRDefault="00167071" w:rsidP="00167071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>Eliciting and documenting individual needs, preferences</w:t>
                      </w:r>
                      <w:r w:rsidR="006D2CCF">
                        <w:rPr>
                          <w:sz w:val="20"/>
                          <w:szCs w:val="20"/>
                        </w:rPr>
                        <w:t>,</w:t>
                      </w:r>
                      <w:r w:rsidRPr="00167071">
                        <w:rPr>
                          <w:sz w:val="20"/>
                          <w:szCs w:val="20"/>
                        </w:rPr>
                        <w:t xml:space="preserve"> and goals during all stages of the clinical trial</w:t>
                      </w:r>
                    </w:p>
                    <w:p w14:paraId="07573B79" w14:textId="77777777" w:rsidR="00167071" w:rsidRPr="00167071" w:rsidRDefault="00167071" w:rsidP="00167071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 xml:space="preserve">Inviting research participants to research meetings to discuss completed or new studies </w:t>
                      </w:r>
                    </w:p>
                    <w:p w14:paraId="38914495" w14:textId="77777777" w:rsidR="00167071" w:rsidRPr="00167071" w:rsidRDefault="00167071" w:rsidP="00167071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>Holding an annual forum with participants and seeking their feedback on completed or new studies</w:t>
                      </w:r>
                    </w:p>
                    <w:p w14:paraId="3800E7BD" w14:textId="77777777" w:rsidR="00167071" w:rsidRPr="00167071" w:rsidRDefault="00167071" w:rsidP="00167071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 xml:space="preserve">Using patient and trial participant decision aids </w:t>
                      </w:r>
                    </w:p>
                    <w:p w14:paraId="15C70ECF" w14:textId="77777777" w:rsidR="00167071" w:rsidRPr="00167071" w:rsidRDefault="00167071" w:rsidP="00167071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 xml:space="preserve">Encouraging and prompting patient questioning during clinical trial visits </w:t>
                      </w:r>
                    </w:p>
                    <w:p w14:paraId="108FEA2D" w14:textId="154153D6" w:rsidR="00167071" w:rsidRPr="00167071" w:rsidRDefault="00167071" w:rsidP="00167071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>Providing trial related information in engaging and accessible formats, such as print, mobile apps</w:t>
                      </w:r>
                      <w:r w:rsidR="006D2CCF">
                        <w:rPr>
                          <w:sz w:val="20"/>
                          <w:szCs w:val="20"/>
                        </w:rPr>
                        <w:t>,</w:t>
                      </w:r>
                      <w:r w:rsidRPr="00167071">
                        <w:rPr>
                          <w:sz w:val="20"/>
                          <w:szCs w:val="20"/>
                        </w:rPr>
                        <w:t xml:space="preserve"> online channels and story boards </w:t>
                      </w:r>
                    </w:p>
                    <w:p w14:paraId="7C17850E" w14:textId="77777777" w:rsidR="00167071" w:rsidRPr="00167071" w:rsidRDefault="00167071" w:rsidP="00167071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 xml:space="preserve">Providing education to support self-management </w:t>
                      </w:r>
                    </w:p>
                    <w:p w14:paraId="2019B4F1" w14:textId="77777777" w:rsidR="00167071" w:rsidRPr="00167071" w:rsidRDefault="00167071" w:rsidP="00167071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 xml:space="preserve">Establishing self-help and support/reference groups </w:t>
                      </w:r>
                    </w:p>
                    <w:p w14:paraId="4AFA22B7" w14:textId="7729F7F0" w:rsidR="00167071" w:rsidRDefault="00167071" w:rsidP="00167071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>Developing tools to encourage adherence to the trial treatment</w:t>
                      </w:r>
                    </w:p>
                    <w:p w14:paraId="045BBEA2" w14:textId="77777777" w:rsidR="00FD590D" w:rsidRDefault="00FD590D" w:rsidP="0016707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8E5566" w14:textId="5D4EC6AA" w:rsidR="00167071" w:rsidRPr="00FD590D" w:rsidRDefault="00FD590D" w:rsidP="0016707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Examples of how you </w:t>
                      </w:r>
                      <w:r w:rsidR="006C7029">
                        <w:rPr>
                          <w:b/>
                          <w:b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already</w:t>
                      </w:r>
                      <w:r w:rsidR="006C702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be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engaging with consumers:</w:t>
                      </w:r>
                    </w:p>
                    <w:p w14:paraId="33127B4B" w14:textId="77777777" w:rsidR="00167071" w:rsidRPr="00167071" w:rsidRDefault="00167071" w:rsidP="00167071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720"/>
                        </w:tabs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>Surveys that you currently undertake regarding consumer feedback such as; Patient Reported Experience Measures (PREMs)</w:t>
                      </w:r>
                    </w:p>
                    <w:p w14:paraId="6710CBC7" w14:textId="77777777" w:rsidR="00167071" w:rsidRPr="00167071" w:rsidRDefault="00167071" w:rsidP="00167071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720"/>
                        </w:tabs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>Feedback during the consent process – ensure this is documented</w:t>
                      </w:r>
                    </w:p>
                    <w:p w14:paraId="0A6681D7" w14:textId="77777777" w:rsidR="00167071" w:rsidRPr="00167071" w:rsidRDefault="00167071" w:rsidP="00167071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720"/>
                        </w:tabs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>Discussing with Patients the practicalities of visits and minimising patient visiting requirements</w:t>
                      </w:r>
                    </w:p>
                    <w:p w14:paraId="2074713E" w14:textId="77777777" w:rsidR="00167071" w:rsidRDefault="00167071" w:rsidP="00167071">
                      <w:pPr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>Inviting former clinical trial participants to research meetings to discuss new Protocols, study materials</w:t>
                      </w:r>
                    </w:p>
                    <w:p w14:paraId="28EC83DD" w14:textId="64CCD0D5" w:rsidR="00B45DBC" w:rsidRPr="00167071" w:rsidRDefault="00167071" w:rsidP="00167071">
                      <w:pPr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167071">
                        <w:rPr>
                          <w:sz w:val="20"/>
                          <w:szCs w:val="20"/>
                        </w:rPr>
                        <w:t>Research forums inviting consumers to take part in discussions/surveys</w:t>
                      </w:r>
                    </w:p>
                    <w:p w14:paraId="148B70C8" w14:textId="77777777" w:rsidR="00B45DBC" w:rsidRDefault="00B45DBC">
                      <w:pPr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  <w:p w14:paraId="738D0747" w14:textId="77777777" w:rsidR="00B45DBC" w:rsidRDefault="00B45DBC">
                      <w:pPr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  <w:p w14:paraId="3DA5FC64" w14:textId="77777777" w:rsidR="00B45DBC" w:rsidRPr="00CA59E3" w:rsidRDefault="00B45DBC">
                      <w:pPr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2CE8FA" w14:textId="77777777" w:rsidR="0011207A" w:rsidRPr="00CA59E3" w:rsidRDefault="0011207A" w:rsidP="0042785E">
      <w:pPr>
        <w:rPr>
          <w:rFonts w:ascii="Arial" w:hAnsi="Arial" w:cs="Arial"/>
        </w:rPr>
      </w:pPr>
    </w:p>
    <w:p w14:paraId="5EF29343" w14:textId="77777777" w:rsidR="0011207A" w:rsidRPr="00CA59E3" w:rsidRDefault="0011207A" w:rsidP="0042785E">
      <w:pPr>
        <w:rPr>
          <w:rFonts w:ascii="Arial" w:hAnsi="Arial" w:cs="Arial"/>
        </w:rPr>
      </w:pPr>
    </w:p>
    <w:p w14:paraId="1B086661" w14:textId="77777777" w:rsidR="0011207A" w:rsidRPr="00CA59E3" w:rsidRDefault="0011207A" w:rsidP="0042785E">
      <w:pPr>
        <w:rPr>
          <w:rFonts w:ascii="Arial" w:hAnsi="Arial" w:cs="Arial"/>
        </w:rPr>
      </w:pPr>
    </w:p>
    <w:p w14:paraId="2C4C6670" w14:textId="77777777" w:rsidR="0011207A" w:rsidRPr="00CA59E3" w:rsidRDefault="0011207A" w:rsidP="0042785E">
      <w:pPr>
        <w:rPr>
          <w:rFonts w:ascii="Arial" w:hAnsi="Arial" w:cs="Arial"/>
        </w:rPr>
      </w:pPr>
    </w:p>
    <w:p w14:paraId="0A02B04E" w14:textId="77777777" w:rsidR="0011207A" w:rsidRPr="00CA59E3" w:rsidRDefault="0011207A" w:rsidP="0042785E">
      <w:pPr>
        <w:rPr>
          <w:rFonts w:ascii="Arial" w:hAnsi="Arial" w:cs="Arial"/>
        </w:rPr>
      </w:pPr>
    </w:p>
    <w:p w14:paraId="24325D1B" w14:textId="77777777" w:rsidR="0011207A" w:rsidRPr="00CA59E3" w:rsidRDefault="0011207A" w:rsidP="0042785E">
      <w:pPr>
        <w:rPr>
          <w:rFonts w:ascii="Arial" w:hAnsi="Arial" w:cs="Arial"/>
        </w:rPr>
      </w:pPr>
    </w:p>
    <w:p w14:paraId="3B2A9433" w14:textId="77777777" w:rsidR="0011207A" w:rsidRPr="00CA59E3" w:rsidRDefault="0011207A" w:rsidP="0042785E">
      <w:pPr>
        <w:rPr>
          <w:rFonts w:ascii="Arial" w:hAnsi="Arial" w:cs="Arial"/>
        </w:rPr>
      </w:pPr>
    </w:p>
    <w:p w14:paraId="6B8435A0" w14:textId="77777777" w:rsidR="0011207A" w:rsidRPr="00CA59E3" w:rsidRDefault="0011207A" w:rsidP="0042785E">
      <w:pPr>
        <w:rPr>
          <w:rFonts w:ascii="Arial" w:hAnsi="Arial" w:cs="Arial"/>
        </w:rPr>
      </w:pPr>
    </w:p>
    <w:p w14:paraId="4A0A37CE" w14:textId="77777777" w:rsidR="0011207A" w:rsidRPr="00CA59E3" w:rsidRDefault="0011207A" w:rsidP="0042785E">
      <w:pPr>
        <w:rPr>
          <w:rFonts w:ascii="Arial" w:hAnsi="Arial" w:cs="Arial"/>
        </w:rPr>
      </w:pPr>
    </w:p>
    <w:p w14:paraId="050BBD45" w14:textId="77777777" w:rsidR="0011207A" w:rsidRPr="00CA59E3" w:rsidRDefault="0011207A" w:rsidP="0042785E">
      <w:pPr>
        <w:rPr>
          <w:rFonts w:ascii="Arial" w:hAnsi="Arial" w:cs="Arial"/>
        </w:rPr>
      </w:pPr>
    </w:p>
    <w:p w14:paraId="2E68B4F8" w14:textId="77777777" w:rsidR="007A4317" w:rsidRPr="00CA59E3" w:rsidRDefault="007A4317" w:rsidP="0042785E">
      <w:pPr>
        <w:rPr>
          <w:rFonts w:ascii="Arial" w:hAnsi="Arial" w:cs="Arial"/>
        </w:rPr>
      </w:pPr>
    </w:p>
    <w:p w14:paraId="01F34AB7" w14:textId="77777777" w:rsidR="0011207A" w:rsidRPr="00CA59E3" w:rsidRDefault="0011207A" w:rsidP="0042785E">
      <w:pPr>
        <w:rPr>
          <w:rFonts w:ascii="Arial" w:hAnsi="Arial" w:cs="Arial"/>
        </w:rPr>
      </w:pPr>
    </w:p>
    <w:p w14:paraId="6D85FFEE" w14:textId="77777777" w:rsidR="00130E00" w:rsidRDefault="00130E00" w:rsidP="0042785E">
      <w:pPr>
        <w:rPr>
          <w:rFonts w:ascii="Arial" w:hAnsi="Arial" w:cs="Arial"/>
          <w:sz w:val="20"/>
        </w:rPr>
      </w:pPr>
    </w:p>
    <w:p w14:paraId="48B8492B" w14:textId="77777777" w:rsidR="00B45DBC" w:rsidRDefault="00B45DBC" w:rsidP="0042785E">
      <w:pPr>
        <w:rPr>
          <w:rFonts w:ascii="Arial" w:hAnsi="Arial" w:cs="Arial"/>
          <w:b/>
          <w:sz w:val="20"/>
        </w:rPr>
      </w:pPr>
    </w:p>
    <w:p w14:paraId="60DBE331" w14:textId="77777777" w:rsidR="00B45DBC" w:rsidRDefault="00B45DBC" w:rsidP="0042785E">
      <w:pPr>
        <w:rPr>
          <w:rFonts w:ascii="Arial" w:hAnsi="Arial" w:cs="Arial"/>
          <w:b/>
          <w:sz w:val="20"/>
        </w:rPr>
      </w:pPr>
    </w:p>
    <w:p w14:paraId="6EA7B034" w14:textId="77777777" w:rsidR="00B45DBC" w:rsidRDefault="00B45DBC" w:rsidP="0042785E">
      <w:pPr>
        <w:rPr>
          <w:rFonts w:ascii="Arial" w:hAnsi="Arial" w:cs="Arial"/>
          <w:b/>
          <w:sz w:val="20"/>
        </w:rPr>
      </w:pPr>
    </w:p>
    <w:p w14:paraId="321FC030" w14:textId="77777777" w:rsidR="00B45DBC" w:rsidRDefault="00B45DBC" w:rsidP="0042785E">
      <w:pPr>
        <w:rPr>
          <w:rFonts w:ascii="Arial" w:hAnsi="Arial" w:cs="Arial"/>
          <w:b/>
          <w:sz w:val="20"/>
        </w:rPr>
      </w:pPr>
    </w:p>
    <w:p w14:paraId="071CD0AD" w14:textId="77777777" w:rsidR="00B45DBC" w:rsidRDefault="00B45DBC" w:rsidP="0042785E">
      <w:pPr>
        <w:rPr>
          <w:rFonts w:ascii="Arial" w:hAnsi="Arial" w:cs="Arial"/>
          <w:b/>
          <w:sz w:val="20"/>
        </w:rPr>
      </w:pPr>
    </w:p>
    <w:p w14:paraId="777E2B26" w14:textId="77777777" w:rsidR="00B45DBC" w:rsidRDefault="00B45DBC" w:rsidP="0042785E">
      <w:pPr>
        <w:rPr>
          <w:rFonts w:ascii="Arial" w:hAnsi="Arial" w:cs="Arial"/>
          <w:b/>
          <w:sz w:val="20"/>
        </w:rPr>
      </w:pPr>
    </w:p>
    <w:p w14:paraId="0D578D97" w14:textId="77777777" w:rsidR="0073446D" w:rsidRDefault="00B45DBC" w:rsidP="0042785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</w:rPr>
        <w:br/>
      </w:r>
      <w:r w:rsidR="0013135B">
        <w:rPr>
          <w:rFonts w:ascii="Arial" w:hAnsi="Arial" w:cs="Arial"/>
          <w:b/>
          <w:sz w:val="16"/>
        </w:rPr>
        <w:br/>
      </w:r>
    </w:p>
    <w:p w14:paraId="062C5CD2" w14:textId="77777777" w:rsidR="0073446D" w:rsidRDefault="0073446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5883AA9" w14:textId="42D24097" w:rsidR="007A4317" w:rsidRPr="00CA59E3" w:rsidRDefault="002543C9" w:rsidP="0042785E">
      <w:pPr>
        <w:rPr>
          <w:rFonts w:ascii="Arial" w:hAnsi="Arial" w:cs="Arial"/>
          <w:sz w:val="18"/>
          <w:szCs w:val="18"/>
        </w:rPr>
      </w:pPr>
      <w:r w:rsidRPr="00CA59E3">
        <w:rPr>
          <w:rFonts w:ascii="Arial" w:hAnsi="Arial" w:cs="Arial"/>
          <w:b/>
          <w:sz w:val="18"/>
          <w:szCs w:val="18"/>
        </w:rPr>
        <w:lastRenderedPageBreak/>
        <w:t>Ethics approval</w:t>
      </w:r>
      <w:r w:rsidR="00B45DBC" w:rsidRPr="00CA59E3">
        <w:rPr>
          <w:rFonts w:ascii="Arial" w:hAnsi="Arial" w:cs="Arial"/>
          <w:b/>
          <w:sz w:val="18"/>
          <w:szCs w:val="18"/>
        </w:rPr>
        <w:t xml:space="preserve"> of this document</w:t>
      </w:r>
      <w:r w:rsidRPr="00CA59E3">
        <w:rPr>
          <w:rFonts w:ascii="Arial" w:hAnsi="Arial" w:cs="Arial"/>
          <w:b/>
          <w:sz w:val="18"/>
          <w:szCs w:val="18"/>
        </w:rPr>
        <w:t xml:space="preserve">: </w:t>
      </w:r>
      <w:r w:rsidR="0073446D">
        <w:rPr>
          <w:rFonts w:ascii="Arial" w:hAnsi="Arial" w:cs="Arial"/>
          <w:sz w:val="18"/>
          <w:szCs w:val="18"/>
        </w:rPr>
        <w:t>T</w:t>
      </w:r>
      <w:r w:rsidRPr="00CA59E3">
        <w:rPr>
          <w:rFonts w:ascii="Arial" w:hAnsi="Arial" w:cs="Arial"/>
          <w:sz w:val="18"/>
          <w:szCs w:val="18"/>
        </w:rPr>
        <w:t xml:space="preserve">his </w:t>
      </w:r>
      <w:r w:rsidR="0087445E" w:rsidRPr="00CA59E3">
        <w:rPr>
          <w:rFonts w:ascii="Arial" w:hAnsi="Arial" w:cs="Arial"/>
          <w:sz w:val="18"/>
          <w:szCs w:val="18"/>
        </w:rPr>
        <w:t>form</w:t>
      </w:r>
      <w:r w:rsidRPr="00CA59E3">
        <w:rPr>
          <w:rFonts w:ascii="Arial" w:hAnsi="Arial" w:cs="Arial"/>
          <w:sz w:val="18"/>
          <w:szCs w:val="18"/>
        </w:rPr>
        <w:t xml:space="preserve"> should be submitted</w:t>
      </w:r>
      <w:r w:rsidR="0087445E" w:rsidRPr="00CA59E3">
        <w:rPr>
          <w:rFonts w:ascii="Arial" w:hAnsi="Arial" w:cs="Arial"/>
          <w:sz w:val="18"/>
          <w:szCs w:val="18"/>
        </w:rPr>
        <w:t xml:space="preserve"> to the lead HREC for review and acknowledgment.</w:t>
      </w:r>
      <w:r w:rsidR="00B45DBC" w:rsidRPr="00CA59E3">
        <w:rPr>
          <w:rFonts w:ascii="Arial" w:hAnsi="Arial" w:cs="Arial"/>
          <w:sz w:val="18"/>
          <w:szCs w:val="18"/>
        </w:rPr>
        <w:t xml:space="preserve"> </w:t>
      </w:r>
    </w:p>
    <w:p w14:paraId="163F471B" w14:textId="77777777" w:rsidR="0011207A" w:rsidRPr="00CA59E3" w:rsidRDefault="0011207A" w:rsidP="0042785E">
      <w:pPr>
        <w:rPr>
          <w:rFonts w:ascii="Arial" w:hAnsi="Arial" w:cs="Arial"/>
          <w:sz w:val="18"/>
          <w:szCs w:val="18"/>
        </w:rPr>
      </w:pPr>
    </w:p>
    <w:p w14:paraId="77913D0F" w14:textId="5396AAEF" w:rsidR="0042785E" w:rsidRDefault="0042785E">
      <w:pPr>
        <w:rPr>
          <w:rFonts w:ascii="Arial" w:hAnsi="Arial" w:cs="Arial"/>
          <w:sz w:val="18"/>
          <w:szCs w:val="18"/>
        </w:rPr>
      </w:pPr>
      <w:r w:rsidRPr="00CA59E3">
        <w:rPr>
          <w:rFonts w:ascii="Arial" w:hAnsi="Arial" w:cs="Arial"/>
          <w:sz w:val="18"/>
          <w:szCs w:val="18"/>
        </w:rPr>
        <w:t xml:space="preserve">The </w:t>
      </w:r>
      <w:r w:rsidR="005933EF">
        <w:rPr>
          <w:rFonts w:ascii="Arial" w:hAnsi="Arial" w:cs="Arial"/>
          <w:sz w:val="18"/>
          <w:szCs w:val="18"/>
        </w:rPr>
        <w:t xml:space="preserve">HREC </w:t>
      </w:r>
      <w:r w:rsidRPr="00CA59E3">
        <w:rPr>
          <w:rFonts w:ascii="Arial" w:hAnsi="Arial" w:cs="Arial"/>
          <w:sz w:val="18"/>
          <w:szCs w:val="18"/>
        </w:rPr>
        <w:t>will review progress of the plan upon review of the study's first annual progress report and/or when subsequent amendments to the Protocol/Participant Information Statement have been submitted.</w:t>
      </w:r>
      <w:r w:rsidR="00B45DBC" w:rsidRPr="00CA59E3" w:rsidDel="00B45DBC">
        <w:rPr>
          <w:rFonts w:ascii="Arial" w:hAnsi="Arial" w:cs="Arial"/>
          <w:sz w:val="18"/>
          <w:szCs w:val="18"/>
        </w:rPr>
        <w:t xml:space="preserve"> </w:t>
      </w:r>
    </w:p>
    <w:p w14:paraId="1B7758C7" w14:textId="77777777" w:rsidR="00B57F6A" w:rsidRDefault="00B57F6A">
      <w:pPr>
        <w:rPr>
          <w:rFonts w:ascii="Arial" w:hAnsi="Arial" w:cs="Arial"/>
          <w:sz w:val="18"/>
          <w:szCs w:val="18"/>
        </w:rPr>
      </w:pPr>
    </w:p>
    <w:p w14:paraId="1FAD4D3B" w14:textId="0E5358CD" w:rsidR="00B57F6A" w:rsidRDefault="00B57F6A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134103344"/>
      <w:r w:rsidRPr="00B57F6A">
        <w:rPr>
          <w:rFonts w:ascii="Arial" w:hAnsi="Arial" w:cs="Arial"/>
          <w:b/>
          <w:bCs/>
          <w:sz w:val="20"/>
          <w:szCs w:val="20"/>
          <w:u w:val="single"/>
        </w:rPr>
        <w:t>Key Resources:</w:t>
      </w:r>
    </w:p>
    <w:p w14:paraId="5C88E434" w14:textId="77777777" w:rsidR="00B57F6A" w:rsidRDefault="00B57F6A">
      <w:pPr>
        <w:rPr>
          <w:rFonts w:ascii="Arial" w:hAnsi="Arial" w:cs="Arial"/>
          <w:sz w:val="20"/>
          <w:szCs w:val="20"/>
        </w:rPr>
      </w:pPr>
    </w:p>
    <w:p w14:paraId="07BE6B56" w14:textId="77777777" w:rsidR="00EE4558" w:rsidRPr="00EE4558" w:rsidRDefault="00EE4558" w:rsidP="00EE455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4558">
        <w:rPr>
          <w:rFonts w:ascii="Arial" w:hAnsi="Arial" w:cs="Arial"/>
          <w:sz w:val="20"/>
          <w:szCs w:val="20"/>
        </w:rPr>
        <w:t xml:space="preserve">Guidance for SESLHD staff </w:t>
      </w:r>
    </w:p>
    <w:p w14:paraId="54C11BF1" w14:textId="58CD25C1" w:rsidR="00EE4558" w:rsidRDefault="00EE4558" w:rsidP="00EE4558">
      <w:pPr>
        <w:pStyle w:val="ListParagraph"/>
        <w:ind w:left="360"/>
        <w:rPr>
          <w:rFonts w:ascii="Arial" w:hAnsi="Arial" w:cs="Arial"/>
          <w:sz w:val="20"/>
          <w:szCs w:val="20"/>
        </w:rPr>
      </w:pPr>
      <w:hyperlink r:id="rId8" w:history="1">
        <w:r w:rsidRPr="003C2B70">
          <w:rPr>
            <w:rStyle w:val="Hyperlink"/>
            <w:rFonts w:ascii="Arial" w:hAnsi="Arial" w:cs="Arial"/>
            <w:sz w:val="20"/>
            <w:szCs w:val="20"/>
          </w:rPr>
          <w:t>http://seslhdweb.seslhd.health.nsw.gov.au/Community_Partnerships/SESLHD_Staff_Guidance/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12E5346" w14:textId="77777777" w:rsidR="00EE4558" w:rsidRDefault="00EE4558" w:rsidP="00EE455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93D8F6D" w14:textId="36A6A3D4" w:rsidR="00EE4558" w:rsidRDefault="00EE4558" w:rsidP="00EE455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NHMRC Guidance</w:t>
      </w:r>
    </w:p>
    <w:p w14:paraId="6498028C" w14:textId="1E9B685D" w:rsidR="00EE4558" w:rsidRDefault="00EE4558" w:rsidP="00EE4558">
      <w:pPr>
        <w:pStyle w:val="ListParagraph"/>
        <w:ind w:left="360"/>
        <w:rPr>
          <w:rFonts w:ascii="Arial" w:hAnsi="Arial" w:cs="Arial"/>
          <w:sz w:val="20"/>
          <w:szCs w:val="20"/>
        </w:rPr>
      </w:pPr>
      <w:hyperlink r:id="rId9" w:history="1">
        <w:r w:rsidRPr="003C2B70">
          <w:rPr>
            <w:rStyle w:val="Hyperlink"/>
            <w:rFonts w:ascii="Arial" w:hAnsi="Arial" w:cs="Arial"/>
            <w:sz w:val="20"/>
            <w:szCs w:val="20"/>
          </w:rPr>
          <w:t>https://www.nhmrc.gov.au/about-us/consumer-and-community-involvement/consumer-and-community-engagement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9B4311F" w14:textId="77777777" w:rsidR="00EE4558" w:rsidRDefault="00EE4558" w:rsidP="00EE455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0CCDB0A" w14:textId="36169477" w:rsidR="00EE4558" w:rsidRPr="00EE4558" w:rsidRDefault="00B57F6A" w:rsidP="00EE455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57F6A">
        <w:rPr>
          <w:rFonts w:ascii="Arial" w:hAnsi="Arial" w:cs="Arial"/>
          <w:sz w:val="20"/>
          <w:szCs w:val="20"/>
        </w:rPr>
        <w:t>Australian Clinical Trial Alliance CT:IQ Consumer Involvement &amp; Engagement Toolkit</w:t>
      </w:r>
    </w:p>
    <w:p w14:paraId="63A5C959" w14:textId="5A41E917" w:rsidR="00B57F6A" w:rsidRPr="00B57F6A" w:rsidRDefault="00CD6154" w:rsidP="00B57F6A">
      <w:pPr>
        <w:ind w:firstLine="360"/>
        <w:rPr>
          <w:rFonts w:ascii="Arial" w:hAnsi="Arial" w:cs="Arial"/>
          <w:sz w:val="20"/>
          <w:szCs w:val="20"/>
        </w:rPr>
      </w:pPr>
      <w:hyperlink r:id="rId10" w:history="1">
        <w:r w:rsidR="00B57F6A" w:rsidRPr="00B57F6A">
          <w:rPr>
            <w:rStyle w:val="Hyperlink"/>
            <w:rFonts w:ascii="Arial" w:hAnsi="Arial" w:cs="Arial"/>
            <w:sz w:val="20"/>
            <w:szCs w:val="20"/>
          </w:rPr>
          <w:t>https://involvementtoolkit.clinicaltrialsalliance.org.au/</w:t>
        </w:r>
      </w:hyperlink>
    </w:p>
    <w:p w14:paraId="40D9EAD7" w14:textId="77777777" w:rsidR="00B57F6A" w:rsidRDefault="00B57F6A" w:rsidP="00B57F6A">
      <w:pPr>
        <w:rPr>
          <w:rFonts w:ascii="Arial" w:hAnsi="Arial" w:cs="Arial"/>
          <w:sz w:val="20"/>
          <w:szCs w:val="20"/>
        </w:rPr>
      </w:pPr>
    </w:p>
    <w:p w14:paraId="6A2A48F3" w14:textId="0562F83D" w:rsidR="00B57F6A" w:rsidRPr="00B57F6A" w:rsidRDefault="00B57F6A" w:rsidP="00B57F6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57F6A">
        <w:rPr>
          <w:rFonts w:ascii="Arial" w:hAnsi="Arial" w:cs="Arial"/>
          <w:sz w:val="20"/>
          <w:szCs w:val="20"/>
        </w:rPr>
        <w:t xml:space="preserve">National Clinical Trials Framework Website </w:t>
      </w:r>
    </w:p>
    <w:p w14:paraId="733D8883" w14:textId="6B93DBFC" w:rsidR="00B57F6A" w:rsidRPr="00B57F6A" w:rsidRDefault="00CD6154" w:rsidP="00B57F6A">
      <w:pPr>
        <w:ind w:firstLine="360"/>
        <w:rPr>
          <w:rFonts w:ascii="Arial" w:hAnsi="Arial" w:cs="Arial"/>
          <w:sz w:val="20"/>
          <w:szCs w:val="20"/>
        </w:rPr>
      </w:pPr>
      <w:hyperlink r:id="rId11" w:history="1">
        <w:r w:rsidR="00B57F6A" w:rsidRPr="00B57F6A">
          <w:rPr>
            <w:rStyle w:val="Hyperlink"/>
            <w:rFonts w:ascii="Arial" w:hAnsi="Arial" w:cs="Arial"/>
            <w:sz w:val="20"/>
            <w:szCs w:val="20"/>
          </w:rPr>
          <w:t>https://www.safetyandquality.gov.au/standards/national-clinical-trials-governance-framework</w:t>
        </w:r>
      </w:hyperlink>
    </w:p>
    <w:p w14:paraId="0EDF91DB" w14:textId="77777777" w:rsidR="00B57F6A" w:rsidRDefault="00B57F6A" w:rsidP="00B57F6A">
      <w:pPr>
        <w:rPr>
          <w:rFonts w:ascii="Arial" w:hAnsi="Arial" w:cs="Arial"/>
          <w:sz w:val="20"/>
          <w:szCs w:val="20"/>
        </w:rPr>
      </w:pPr>
    </w:p>
    <w:p w14:paraId="798F64E7" w14:textId="31EB34CF" w:rsidR="00B57F6A" w:rsidRPr="00B57F6A" w:rsidRDefault="00B57F6A" w:rsidP="00B57F6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57F6A">
        <w:rPr>
          <w:rFonts w:ascii="Arial" w:hAnsi="Arial" w:cs="Arial"/>
          <w:sz w:val="20"/>
          <w:szCs w:val="20"/>
        </w:rPr>
        <w:t>Australian Commission on Safety and Quality in Health Care You Tube Info Video</w:t>
      </w:r>
    </w:p>
    <w:p w14:paraId="0D1EE7EF" w14:textId="77777777" w:rsidR="00B57F6A" w:rsidRDefault="00CD6154" w:rsidP="00B57F6A">
      <w:pPr>
        <w:ind w:firstLine="360"/>
        <w:rPr>
          <w:rStyle w:val="Hyperlink"/>
          <w:rFonts w:ascii="Arial" w:hAnsi="Arial" w:cs="Arial"/>
          <w:sz w:val="20"/>
          <w:szCs w:val="20"/>
        </w:rPr>
      </w:pPr>
      <w:hyperlink r:id="rId12" w:history="1">
        <w:r w:rsidR="00B57F6A" w:rsidRPr="00B57F6A">
          <w:rPr>
            <w:rStyle w:val="Hyperlink"/>
            <w:rFonts w:ascii="Arial" w:hAnsi="Arial" w:cs="Arial"/>
            <w:sz w:val="20"/>
            <w:szCs w:val="20"/>
          </w:rPr>
          <w:t>You Tube Link for Safety and Quality in Health Care</w:t>
        </w:r>
      </w:hyperlink>
    </w:p>
    <w:p w14:paraId="740D6C07" w14:textId="77777777" w:rsidR="00D74417" w:rsidRDefault="00D74417" w:rsidP="00B57F6A">
      <w:pPr>
        <w:ind w:firstLine="360"/>
        <w:rPr>
          <w:rStyle w:val="Hyperlink"/>
          <w:rFonts w:ascii="Arial" w:hAnsi="Arial" w:cs="Arial"/>
          <w:sz w:val="20"/>
          <w:szCs w:val="20"/>
        </w:rPr>
      </w:pPr>
    </w:p>
    <w:p w14:paraId="3F5A83CF" w14:textId="2AB74AE6" w:rsidR="00D74417" w:rsidRPr="00D74417" w:rsidRDefault="00D74417" w:rsidP="00D74417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A13BE76" w14:textId="77777777" w:rsidR="00B57F6A" w:rsidRPr="00B57F6A" w:rsidRDefault="00B57F6A">
      <w:pPr>
        <w:rPr>
          <w:rFonts w:ascii="Arial" w:hAnsi="Arial" w:cs="Arial"/>
          <w:sz w:val="20"/>
          <w:szCs w:val="20"/>
        </w:rPr>
      </w:pPr>
      <w:bookmarkStart w:id="1" w:name="_GoBack"/>
      <w:bookmarkEnd w:id="0"/>
      <w:bookmarkEnd w:id="1"/>
    </w:p>
    <w:sectPr w:rsidR="00B57F6A" w:rsidRPr="00B57F6A" w:rsidSect="00CA59E3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A29A3" w14:textId="77777777" w:rsidR="00CD6154" w:rsidRDefault="00CD6154" w:rsidP="00916CD5">
      <w:r>
        <w:separator/>
      </w:r>
    </w:p>
  </w:endnote>
  <w:endnote w:type="continuationSeparator" w:id="0">
    <w:p w14:paraId="35FF8EC3" w14:textId="77777777" w:rsidR="00CD6154" w:rsidRDefault="00CD6154" w:rsidP="0091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344E" w14:textId="221C59FF" w:rsidR="00916CD5" w:rsidRPr="00CA59E3" w:rsidRDefault="00916CD5">
    <w:pPr>
      <w:pStyle w:val="Footer"/>
      <w:rPr>
        <w:rFonts w:ascii="Arial" w:hAnsi="Arial" w:cs="Arial"/>
        <w:sz w:val="18"/>
      </w:rPr>
    </w:pPr>
    <w:r w:rsidRPr="00CA59E3">
      <w:rPr>
        <w:rFonts w:ascii="Arial" w:hAnsi="Arial" w:cs="Arial"/>
        <w:sz w:val="18"/>
      </w:rPr>
      <w:t>S</w:t>
    </w:r>
    <w:r w:rsidR="00D74417">
      <w:rPr>
        <w:rFonts w:ascii="Arial" w:hAnsi="Arial" w:cs="Arial"/>
        <w:sz w:val="18"/>
      </w:rPr>
      <w:t>ES</w:t>
    </w:r>
    <w:r w:rsidRPr="00CA59E3">
      <w:rPr>
        <w:rFonts w:ascii="Arial" w:hAnsi="Arial" w:cs="Arial"/>
        <w:sz w:val="18"/>
      </w:rPr>
      <w:t>LHD</w:t>
    </w:r>
    <w:r w:rsidR="002648D6">
      <w:rPr>
        <w:rFonts w:ascii="Arial" w:hAnsi="Arial" w:cs="Arial"/>
        <w:sz w:val="18"/>
      </w:rPr>
      <w:t xml:space="preserve"> </w:t>
    </w:r>
    <w:r w:rsidRPr="00CA59E3">
      <w:rPr>
        <w:rFonts w:ascii="Arial" w:hAnsi="Arial" w:cs="Arial"/>
        <w:sz w:val="18"/>
      </w:rPr>
      <w:t>– Consumer Engagement Plan</w:t>
    </w:r>
  </w:p>
  <w:p w14:paraId="10F5894D" w14:textId="77777777" w:rsidR="008257D3" w:rsidRPr="00CA59E3" w:rsidRDefault="008257D3">
    <w:pPr>
      <w:pStyle w:val="Footer"/>
      <w:rPr>
        <w:rFonts w:ascii="Arial" w:hAnsi="Arial" w:cs="Arial"/>
        <w:sz w:val="18"/>
      </w:rPr>
    </w:pPr>
    <w:r w:rsidRPr="00CA59E3">
      <w:rPr>
        <w:rFonts w:ascii="Arial" w:hAnsi="Arial" w:cs="Arial"/>
        <w:sz w:val="18"/>
      </w:rPr>
      <w:t xml:space="preserve">Version x, dated </w:t>
    </w:r>
    <w:proofErr w:type="spellStart"/>
    <w:r w:rsidRPr="00CA59E3">
      <w:rPr>
        <w:rFonts w:ascii="Arial" w:hAnsi="Arial" w:cs="Arial"/>
        <w:sz w:val="18"/>
      </w:rPr>
      <w:t>dd</w:t>
    </w:r>
    <w:proofErr w:type="spellEnd"/>
    <w:r w:rsidRPr="00CA59E3">
      <w:rPr>
        <w:rFonts w:ascii="Arial" w:hAnsi="Arial" w:cs="Arial"/>
        <w:sz w:val="18"/>
      </w:rPr>
      <w:t>/mm/</w:t>
    </w:r>
    <w:proofErr w:type="spellStart"/>
    <w:r w:rsidRPr="00CA59E3">
      <w:rPr>
        <w:rFonts w:ascii="Arial" w:hAnsi="Arial" w:cs="Arial"/>
        <w:sz w:val="18"/>
      </w:rPr>
      <w:t>yyyy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DD8F0" w14:textId="77777777" w:rsidR="00CD6154" w:rsidRDefault="00CD6154" w:rsidP="00916CD5">
      <w:r>
        <w:separator/>
      </w:r>
    </w:p>
  </w:footnote>
  <w:footnote w:type="continuationSeparator" w:id="0">
    <w:p w14:paraId="0B11C7BF" w14:textId="77777777" w:rsidR="00CD6154" w:rsidRDefault="00CD6154" w:rsidP="00916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E3AC6" w14:textId="3C768D0A" w:rsidR="002543C9" w:rsidRPr="00CA59E3" w:rsidRDefault="00EE4558" w:rsidP="00EE4558">
    <w:pPr>
      <w:pStyle w:val="Header"/>
      <w:jc w:val="right"/>
      <w:rPr>
        <w:sz w:val="20"/>
      </w:rPr>
    </w:pPr>
    <w:r>
      <w:rPr>
        <w:noProof/>
        <w:sz w:val="20"/>
        <w:lang w:eastAsia="en-AU"/>
      </w:rPr>
      <w:drawing>
        <wp:inline distT="0" distB="0" distL="0" distR="0" wp14:anchorId="44B8E281" wp14:editId="61C778EA">
          <wp:extent cx="664210" cy="719455"/>
          <wp:effectExtent l="0" t="0" r="254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5AEC"/>
    <w:multiLevelType w:val="hybridMultilevel"/>
    <w:tmpl w:val="72BE85C4"/>
    <w:lvl w:ilvl="0" w:tplc="749C23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02EB"/>
    <w:multiLevelType w:val="hybridMultilevel"/>
    <w:tmpl w:val="2D5C95DA"/>
    <w:lvl w:ilvl="0" w:tplc="3AA2C6C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84BF7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6305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DAC826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76D90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94F3C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2817E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014EF5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80A00C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94F54"/>
    <w:multiLevelType w:val="hybridMultilevel"/>
    <w:tmpl w:val="419A02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741BD"/>
    <w:multiLevelType w:val="hybridMultilevel"/>
    <w:tmpl w:val="7E2CE69C"/>
    <w:lvl w:ilvl="0" w:tplc="8D3236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E403B2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5D8314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766A4B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C2E9FB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B3C03E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FE5CF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D01BB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3F0013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D0719"/>
    <w:multiLevelType w:val="hybridMultilevel"/>
    <w:tmpl w:val="E6561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5E"/>
    <w:rsid w:val="000418DC"/>
    <w:rsid w:val="0011207A"/>
    <w:rsid w:val="00130E00"/>
    <w:rsid w:val="0013135B"/>
    <w:rsid w:val="00162FF4"/>
    <w:rsid w:val="00167071"/>
    <w:rsid w:val="001E7212"/>
    <w:rsid w:val="002543C9"/>
    <w:rsid w:val="002648D6"/>
    <w:rsid w:val="002A1591"/>
    <w:rsid w:val="002D3774"/>
    <w:rsid w:val="00332F85"/>
    <w:rsid w:val="00341CBC"/>
    <w:rsid w:val="003607F8"/>
    <w:rsid w:val="003A0D59"/>
    <w:rsid w:val="003B38C6"/>
    <w:rsid w:val="0042785E"/>
    <w:rsid w:val="0046651D"/>
    <w:rsid w:val="004B1B29"/>
    <w:rsid w:val="004D5507"/>
    <w:rsid w:val="004E6435"/>
    <w:rsid w:val="005933EF"/>
    <w:rsid w:val="0068445E"/>
    <w:rsid w:val="006C295E"/>
    <w:rsid w:val="006C7029"/>
    <w:rsid w:val="006D2CCF"/>
    <w:rsid w:val="007321A9"/>
    <w:rsid w:val="0073446D"/>
    <w:rsid w:val="007A4317"/>
    <w:rsid w:val="00801668"/>
    <w:rsid w:val="00804252"/>
    <w:rsid w:val="008257D3"/>
    <w:rsid w:val="0087445E"/>
    <w:rsid w:val="00913373"/>
    <w:rsid w:val="00916CD5"/>
    <w:rsid w:val="00AB612B"/>
    <w:rsid w:val="00AD4116"/>
    <w:rsid w:val="00AF3466"/>
    <w:rsid w:val="00B45DBC"/>
    <w:rsid w:val="00B57F6A"/>
    <w:rsid w:val="00BB1221"/>
    <w:rsid w:val="00CA59E3"/>
    <w:rsid w:val="00CB3402"/>
    <w:rsid w:val="00CD6154"/>
    <w:rsid w:val="00D74417"/>
    <w:rsid w:val="00DE7787"/>
    <w:rsid w:val="00E60B5A"/>
    <w:rsid w:val="00EE4558"/>
    <w:rsid w:val="00F40D33"/>
    <w:rsid w:val="00FD590D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9FDAB"/>
  <w15:chartTrackingRefBased/>
  <w15:docId w15:val="{DA7D04CD-5E82-7045-9E7A-A572E2B9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8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0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0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6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D5"/>
  </w:style>
  <w:style w:type="paragraph" w:styleId="Footer">
    <w:name w:val="footer"/>
    <w:basedOn w:val="Normal"/>
    <w:link w:val="FooterChar"/>
    <w:uiPriority w:val="99"/>
    <w:unhideWhenUsed/>
    <w:rsid w:val="00916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D5"/>
  </w:style>
  <w:style w:type="paragraph" w:styleId="BalloonText">
    <w:name w:val="Balloon Text"/>
    <w:basedOn w:val="Normal"/>
    <w:link w:val="BalloonTextChar"/>
    <w:uiPriority w:val="99"/>
    <w:semiHidden/>
    <w:unhideWhenUsed/>
    <w:rsid w:val="003A0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D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0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445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A59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B5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7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9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9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7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lhdweb.seslhd.health.nsw.gov.au/Community_Partnerships/SESLHD_Staff_Guidanc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fetyandquality.gov.au/standards/national-clinical-trials-governance-framework" TargetMode="External"/><Relationship Id="rId12" Type="http://schemas.openxmlformats.org/officeDocument/2006/relationships/hyperlink" Target="https://www.bing.com/images/search?view=detailV2&amp;ccid=NMhmh6RA&amp;id=8A71DB69C732E89DF0D897D67F1D20612C167B90&amp;thid=OIP.NMhmh6RAcf7WOB7k73Nc2gHaEK&amp;mediaurl=https://i.ytimg.com/vi/tGXmj9ReeLw/maxresdefault.jpg&amp;exph=720&amp;expw=1280&amp;q=National+Clinical+Trials+Governance+Framework&amp;simid=608056314598545936&amp;FORM=IRPRST&amp;ck=F0FF7748C87900461D1EA18039F7B289&amp;selectedIndex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fetyandquality.gov.au/standards/national-clinical-trials-governance-framewor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volvementtoolkit.clinicaltrialsalliance.org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mrc.gov.au/about-us/consumer-and-community-involvement/consumer-and-community-engagemen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Merela Ghazal</dc:creator>
  <cp:keywords/>
  <dc:description/>
  <cp:lastModifiedBy>Monique Macara (South Eastern Sydney LHD)</cp:lastModifiedBy>
  <cp:revision>3</cp:revision>
  <dcterms:created xsi:type="dcterms:W3CDTF">2024-10-02T06:51:00Z</dcterms:created>
  <dcterms:modified xsi:type="dcterms:W3CDTF">2024-10-02T06:51:00Z</dcterms:modified>
</cp:coreProperties>
</file>